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Grupos de Investigación Tándem ANII – MPG</w:t>
      </w:r>
    </w:p>
    <w:p w:rsidR="00000000" w:rsidDel="00000000" w:rsidP="00000000" w:rsidRDefault="00000000" w:rsidRPr="00000000" w14:paraId="00000002">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Informe de cierre convocatoria 2025</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 ASPECTOS GENERALES </w:t>
      </w:r>
    </w:p>
    <w:p w:rsidR="00000000" w:rsidDel="00000000" w:rsidP="00000000" w:rsidRDefault="00000000" w:rsidRPr="00000000" w14:paraId="00000006">
      <w:pPr>
        <w:ind w:left="36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highlight w:val="white"/>
        </w:rPr>
      </w:pPr>
      <w:bookmarkStart w:colFirst="0" w:colLast="0" w:name="_heading=h.gjdgxs" w:id="0"/>
      <w:bookmarkEnd w:id="0"/>
      <w:r w:rsidDel="00000000" w:rsidR="00000000" w:rsidRPr="00000000">
        <w:rPr>
          <w:rFonts w:ascii="Calibri" w:cs="Calibri" w:eastAsia="Calibri" w:hAnsi="Calibri"/>
          <w:highlight w:val="white"/>
          <w:rtl w:val="0"/>
        </w:rPr>
        <w:t xml:space="preserve">El objetivo de la convocatoria es establecer nuevos grupos de investigación independientes en universidades e instituciones de investigación en Uruguay (Grupo de Investigación Tándem GIT), liderados por destacados investigadores en estrecha colaboración con investigadores principales de alguno de los 84 Institutos Max Planck. Los Grupos de Investigación Tándem se establecerán por un período de cinco años con la posibilidad de una extensión de dos años tras una evaluación exitosa. </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Las áreas del llamado son: Ciencias de la computación e informática; Biología Molecular, Biomedicina y Salud; Ciencias ambientales y monitoreo; Investigación energética; Investigación sobre educación y desarrollo social y jurídico; Ciencias de las plantas y biotecnología; Ciencias de los materiales y nanotecnología </w:t>
      </w:r>
    </w:p>
    <w:p w:rsidR="00000000" w:rsidDel="00000000" w:rsidP="00000000" w:rsidRDefault="00000000" w:rsidRPr="00000000" w14:paraId="0000000A">
      <w:pPr>
        <w:shd w:fill="ffffff" w:val="clear"/>
        <w:ind w:right="-284"/>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Por cada proyecto aprobado ANII financia: </w:t>
      </w:r>
    </w:p>
    <w:p w:rsidR="00000000" w:rsidDel="00000000" w:rsidP="00000000" w:rsidRDefault="00000000" w:rsidRPr="00000000" w14:paraId="0000000C">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gastos de investigación por USD 12.000 por los 5 años para financiar la contratación de un asistente técnico o insumos</w:t>
      </w:r>
    </w:p>
    <w:p w:rsidR="00000000" w:rsidDel="00000000" w:rsidP="00000000" w:rsidRDefault="00000000" w:rsidRPr="00000000" w14:paraId="0000000D">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una beca de doctorado en Uruguay </w:t>
      </w:r>
    </w:p>
    <w:p w:rsidR="00000000" w:rsidDel="00000000" w:rsidP="00000000" w:rsidRDefault="00000000" w:rsidRPr="00000000" w14:paraId="0000000E">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una beca posdoctoral en Uruguay </w:t>
      </w:r>
    </w:p>
    <w:p w:rsidR="00000000" w:rsidDel="00000000" w:rsidP="00000000" w:rsidRDefault="00000000" w:rsidRPr="00000000" w14:paraId="0000000F">
      <w:pPr>
        <w:shd w:fill="ffffff" w:val="clear"/>
        <w:ind w:right="-284"/>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El proceso de postulación y evaluación de este llamado está a cargo de la Representación para América Latina de la Sociedad Max Planck. </w:t>
      </w:r>
    </w:p>
    <w:p w:rsidR="00000000" w:rsidDel="00000000" w:rsidP="00000000" w:rsidRDefault="00000000" w:rsidRPr="00000000" w14:paraId="00000011">
      <w:pPr>
        <w:spacing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 RESULTADOS DEL PROCESO DE EVALUACIÓN </w:t>
      </w:r>
    </w:p>
    <w:p w:rsidR="00000000" w:rsidDel="00000000" w:rsidP="00000000" w:rsidRDefault="00000000" w:rsidRPr="00000000" w14:paraId="00000013">
      <w:pPr>
        <w:spacing w:before="240" w:lineRule="auto"/>
        <w:jc w:val="both"/>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rtl w:val="0"/>
        </w:rPr>
        <w:t xml:space="preserve">La convocatoria 2025 permaneció abierta</w:t>
      </w:r>
      <w:r w:rsidDel="00000000" w:rsidR="00000000" w:rsidRPr="00000000">
        <w:rPr>
          <w:rFonts w:ascii="Calibri" w:cs="Calibri" w:eastAsia="Calibri" w:hAnsi="Calibri"/>
          <w:highlight w:val="white"/>
          <w:rtl w:val="0"/>
        </w:rPr>
        <w:t xml:space="preserve"> desde el </w:t>
      </w:r>
      <w:r w:rsidDel="00000000" w:rsidR="00000000" w:rsidRPr="00000000">
        <w:rPr>
          <w:rFonts w:ascii="Calibri" w:cs="Calibri" w:eastAsia="Calibri" w:hAnsi="Calibri"/>
          <w:rtl w:val="0"/>
        </w:rPr>
        <w:t xml:space="preserve">8 de abril </w:t>
      </w:r>
      <w:r w:rsidDel="00000000" w:rsidR="00000000" w:rsidRPr="00000000">
        <w:rPr>
          <w:rFonts w:ascii="Calibri" w:cs="Calibri" w:eastAsia="Calibri" w:hAnsi="Calibri"/>
          <w:highlight w:val="white"/>
          <w:rtl w:val="0"/>
        </w:rPr>
        <w:t xml:space="preserve">al 30 de junio de 2025</w:t>
      </w:r>
      <w:r w:rsidDel="00000000" w:rsidR="00000000" w:rsidRPr="00000000">
        <w:rPr>
          <w:rFonts w:ascii="Calibri" w:cs="Calibri" w:eastAsia="Calibri" w:hAnsi="Calibri"/>
          <w:rtl w:val="0"/>
        </w:rPr>
        <w:t xml:space="preserve"> y se recibieron 11 postulaciones. </w:t>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Todas las propuestas resultaron elegibles y pasaron a la etapa de evaluación técnica a cargo de la Representación para América Latina de la Sociedad Max Planck. </w:t>
      </w:r>
      <w:r w:rsidDel="00000000" w:rsidR="00000000" w:rsidRPr="00000000">
        <w:rPr>
          <w:rFonts w:ascii="Calibri" w:cs="Calibri" w:eastAsia="Calibri" w:hAnsi="Calibri"/>
          <w:highlight w:val="white"/>
          <w:rtl w:val="0"/>
        </w:rPr>
        <w:t xml:space="preserve">En base a los fondos disponibles, se </w:t>
      </w:r>
      <w:r w:rsidDel="00000000" w:rsidR="00000000" w:rsidRPr="00000000">
        <w:rPr>
          <w:rFonts w:ascii="Calibri" w:cs="Calibri" w:eastAsia="Calibri" w:hAnsi="Calibri"/>
          <w:highlight w:val="white"/>
          <w:rtl w:val="0"/>
        </w:rPr>
        <w:t xml:space="preserve">financian</w:t>
      </w:r>
      <w:r w:rsidDel="00000000" w:rsidR="00000000" w:rsidRPr="00000000">
        <w:rPr>
          <w:rFonts w:ascii="Calibri" w:cs="Calibri" w:eastAsia="Calibri" w:hAnsi="Calibri"/>
          <w:highlight w:val="white"/>
          <w:rtl w:val="0"/>
        </w:rPr>
        <w:t xml:space="preserve"> dos proyectos. </w:t>
      </w:r>
    </w:p>
    <w:p w:rsidR="00000000" w:rsidDel="00000000" w:rsidP="00000000" w:rsidRDefault="00000000" w:rsidRPr="00000000" w14:paraId="00000016">
      <w:pPr>
        <w:spacing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A continuación se presentan los siguientes anexos: </w:t>
      </w:r>
    </w:p>
    <w:p w:rsidR="00000000" w:rsidDel="00000000" w:rsidP="00000000" w:rsidRDefault="00000000" w:rsidRPr="00000000" w14:paraId="00000018">
      <w:pPr>
        <w:jc w:val="both"/>
        <w:rPr>
          <w:rFonts w:ascii="Calibri" w:cs="Calibri" w:eastAsia="Calibri" w:hAnsi="Calibri"/>
        </w:rPr>
      </w:pPr>
      <w:bookmarkStart w:colFirst="0" w:colLast="0" w:name="_heading=h.neijyihgs7k1" w:id="2"/>
      <w:bookmarkEnd w:id="2"/>
      <w:r w:rsidDel="00000000" w:rsidR="00000000" w:rsidRPr="00000000">
        <w:rPr>
          <w:rFonts w:ascii="Calibri" w:cs="Calibri" w:eastAsia="Calibri" w:hAnsi="Calibri"/>
          <w:b w:val="1"/>
          <w:rtl w:val="0"/>
        </w:rPr>
        <w:t xml:space="preserve">ANEXO I.</w:t>
      </w:r>
      <w:r w:rsidDel="00000000" w:rsidR="00000000" w:rsidRPr="00000000">
        <w:rPr>
          <w:rFonts w:ascii="Calibri" w:cs="Calibri" w:eastAsia="Calibri" w:hAnsi="Calibri"/>
          <w:rtl w:val="0"/>
        </w:rPr>
        <w:t xml:space="preserve"> Listado de proyectos financiados</w:t>
      </w:r>
    </w:p>
    <w:p w:rsidR="00000000" w:rsidDel="00000000" w:rsidP="00000000" w:rsidRDefault="00000000" w:rsidRPr="00000000" w14:paraId="00000019">
      <w:pPr>
        <w:jc w:val="both"/>
        <w:rPr>
          <w:rFonts w:ascii="Calibri" w:cs="Calibri" w:eastAsia="Calibri" w:hAnsi="Calibri"/>
          <w:highlight w:val="white"/>
        </w:rPr>
      </w:pPr>
      <w:r w:rsidDel="00000000" w:rsidR="00000000" w:rsidRPr="00000000">
        <w:rPr>
          <w:rFonts w:ascii="Calibri" w:cs="Calibri" w:eastAsia="Calibri" w:hAnsi="Calibri"/>
          <w:b w:val="1"/>
          <w:rtl w:val="0"/>
        </w:rPr>
        <w:t xml:space="preserve">ANEXO II.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Listado de proyectos no financiados</w:t>
      </w:r>
    </w:p>
    <w:p w:rsidR="00000000" w:rsidDel="00000000" w:rsidP="00000000" w:rsidRDefault="00000000" w:rsidRPr="00000000" w14:paraId="0000001A">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b w:val="1"/>
          <w:rtl w:val="0"/>
        </w:rPr>
        <w:t xml:space="preserve">ANEXO I.</w:t>
      </w:r>
      <w:r w:rsidDel="00000000" w:rsidR="00000000" w:rsidRPr="00000000">
        <w:rPr>
          <w:rFonts w:ascii="Calibri" w:cs="Calibri" w:eastAsia="Calibri" w:hAnsi="Calibri"/>
          <w:rtl w:val="0"/>
        </w:rPr>
        <w:t xml:space="preserve"> Listado de proyectos financiados</w:t>
      </w:r>
    </w:p>
    <w:p w:rsidR="00000000" w:rsidDel="00000000" w:rsidP="00000000" w:rsidRDefault="00000000" w:rsidRPr="00000000" w14:paraId="00000020">
      <w:pPr>
        <w:jc w:val="both"/>
        <w:rPr>
          <w:rFonts w:ascii="Calibri" w:cs="Calibri" w:eastAsia="Calibri" w:hAnsi="Calibri"/>
        </w:rPr>
      </w:pPr>
      <w:r w:rsidDel="00000000" w:rsidR="00000000" w:rsidRPr="00000000">
        <w:rPr>
          <w:rtl w:val="0"/>
        </w:rPr>
      </w:r>
    </w:p>
    <w:tbl>
      <w:tblPr>
        <w:tblStyle w:val="Table1"/>
        <w:tblW w:w="10081.0" w:type="dxa"/>
        <w:jc w:val="center"/>
        <w:tblLayout w:type="fixed"/>
        <w:tblLook w:val="0000"/>
      </w:tblPr>
      <w:tblGrid>
        <w:gridCol w:w="3397"/>
        <w:gridCol w:w="2552"/>
        <w:gridCol w:w="1984"/>
        <w:gridCol w:w="2148"/>
        <w:tblGridChange w:id="0">
          <w:tblGrid>
            <w:gridCol w:w="3397"/>
            <w:gridCol w:w="2552"/>
            <w:gridCol w:w="1984"/>
            <w:gridCol w:w="2148"/>
          </w:tblGrid>
        </w:tblGridChange>
      </w:tblGrid>
      <w:tr>
        <w:trPr>
          <w:cantSplit w:val="1"/>
          <w:trHeight w:val="988"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ind w:hanging="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Título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ind w:hanging="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Solicitante por Uruguay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ind w:hanging="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Institución de Uruguay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Instituto Max Planck colaborador</w:t>
            </w:r>
          </w:p>
        </w:tc>
      </w:tr>
      <w:tr>
        <w:trPr>
          <w:cantSplit w:val="0"/>
          <w:trHeight w:val="98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Collective nest building: cooperation mechanisms and reproductive consequences in ovenbirds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Adreani, Nicolas/</w:t>
            </w:r>
            <w:r w:rsidDel="00000000" w:rsidR="00000000" w:rsidRPr="00000000">
              <w:rPr>
                <w:rFonts w:ascii="font000000002e1037de" w:cs="font000000002e1037de" w:eastAsia="font000000002e1037de" w:hAnsi="font000000002e1037de"/>
                <w:sz w:val="31"/>
                <w:szCs w:val="31"/>
                <w:rtl w:val="0"/>
              </w:rPr>
              <w:t xml:space="preserve"> </w:t>
            </w:r>
            <w:r w:rsidDel="00000000" w:rsidR="00000000" w:rsidRPr="00000000">
              <w:rPr>
                <w:rFonts w:ascii="Calibri" w:cs="Calibri" w:eastAsia="Calibri" w:hAnsi="Calibri"/>
                <w:sz w:val="20"/>
                <w:szCs w:val="20"/>
                <w:rtl w:val="0"/>
              </w:rPr>
              <w:t xml:space="preserve">Lucia Mentesana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Facultad de Ciencias - UDELAR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Planck Institute of Animal Behaviour</w:t>
            </w:r>
          </w:p>
        </w:tc>
      </w:tr>
      <w:tr>
        <w:trPr>
          <w:cantSplit w:val="0"/>
          <w:trHeight w:val="98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Mul-omics approaches to contribute to the understanding of fundamental ques ons in plant biology and agriculture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Signorelli, Santiago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Facultad de Agronomía - UDELAR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Planck Institute of Molecular Plant Physiology</w:t>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b w:val="1"/>
          <w:rtl w:val="0"/>
        </w:rPr>
        <w:t xml:space="preserve">ANEXO II.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Listado de proyectos </w:t>
      </w:r>
      <w:r w:rsidDel="00000000" w:rsidR="00000000" w:rsidRPr="00000000">
        <w:rPr>
          <w:rFonts w:ascii="Calibri" w:cs="Calibri" w:eastAsia="Calibri" w:hAnsi="Calibri"/>
          <w:rtl w:val="0"/>
        </w:rPr>
        <w:t xml:space="preserve">no financiados</w:t>
      </w:r>
    </w:p>
    <w:p w:rsidR="00000000" w:rsidDel="00000000" w:rsidP="00000000" w:rsidRDefault="00000000" w:rsidRPr="00000000" w14:paraId="0000002F">
      <w:pPr>
        <w:rPr>
          <w:rFonts w:ascii="Calibri" w:cs="Calibri" w:eastAsia="Calibri" w:hAnsi="Calibri"/>
          <w:b w:val="1"/>
        </w:rPr>
      </w:pPr>
      <w:r w:rsidDel="00000000" w:rsidR="00000000" w:rsidRPr="00000000">
        <w:rPr>
          <w:rtl w:val="0"/>
        </w:rPr>
      </w:r>
    </w:p>
    <w:tbl>
      <w:tblPr>
        <w:tblStyle w:val="Table2"/>
        <w:tblW w:w="10080.0" w:type="dxa"/>
        <w:jc w:val="center"/>
        <w:tblLayout w:type="fixed"/>
        <w:tblLook w:val="0000"/>
      </w:tblPr>
      <w:tblGrid>
        <w:gridCol w:w="3390"/>
        <w:gridCol w:w="1860"/>
        <w:gridCol w:w="2040"/>
        <w:gridCol w:w="2790"/>
        <w:tblGridChange w:id="0">
          <w:tblGrid>
            <w:gridCol w:w="3390"/>
            <w:gridCol w:w="1860"/>
            <w:gridCol w:w="2040"/>
            <w:gridCol w:w="2790"/>
          </w:tblGrid>
        </w:tblGridChange>
      </w:tblGrid>
      <w:tr>
        <w:trPr>
          <w:cantSplit w:val="1"/>
          <w:trHeight w:val="988"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ind w:hanging="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Título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ind w:hanging="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Solicitante por Uruguay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ind w:hanging="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Institución de Uruguay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Instituto Max Planck colaborador</w:t>
            </w:r>
          </w:p>
        </w:tc>
      </w:tr>
      <w:tr>
        <w:trPr>
          <w:cantSplit w:val="0"/>
          <w:trHeight w:val="9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Coastal microbiomes as sentinels of global change: a South Atlantic perspective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Alonso, Cecilia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Centro Universitario Regional del Este - UDELAR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Planck Institute for Marine Microbiology</w:t>
            </w:r>
          </w:p>
        </w:tc>
      </w:tr>
      <w:tr>
        <w:trPr>
          <w:cantSplit w:val="0"/>
          <w:trHeight w:val="9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Nuclear Architecture, Mechanobiology and DNA Damage and Repair in Cancer Cells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Arocena, Miguel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Facultad de Odontología - UDELAR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Planck Institute for Medical Research</w:t>
            </w:r>
          </w:p>
        </w:tc>
      </w:tr>
      <w:tr>
        <w:trPr>
          <w:cantSplit w:val="0"/>
          <w:trHeight w:val="9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Tracing Mobility and Demographic Change: A Long-Term Perspective on the Interrelations of Internal and International Migration in the Latin American and Caribbean Migration System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Bengochea, Julieta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Facultad de Ciencias Sociales - UDELAR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Planck Institute for Demographic Research</w:t>
            </w:r>
          </w:p>
        </w:tc>
      </w:tr>
      <w:tr>
        <w:trPr>
          <w:cantSplit w:val="0"/>
          <w:trHeight w:val="9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Growth Coalitions and the Politics of Growth Models in Emerging Economies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Bogliaccini, Juan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Universidad Católica del Uruguay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Planck Institute for the Study of Societies</w:t>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Advancing Demographic Projections through Interpretable Microsimulation and Neural Forecasting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widowControl w:val="0"/>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Ciganda, Daniel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Instituto de Estadística - UDELAR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Planck Institute for Demographic Research</w:t>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Efficient Computation of Hierarchical Matrices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widowControl w:val="0"/>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Dufrechou,</w:t>
            </w:r>
          </w:p>
          <w:p w:rsidR="00000000" w:rsidDel="00000000" w:rsidP="00000000" w:rsidRDefault="00000000" w:rsidRPr="00000000" w14:paraId="0000004A">
            <w:pPr>
              <w:widowControl w:val="0"/>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Ernesto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Facultad de Ingeniería - UDELAR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Planck Institute for Dynamics of Complex Technical Systems</w:t>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GSK3³ as a central signal integrator in endothelial cells and vascular pathology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widowControl w:val="0"/>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RUIZ PERERA, Santiago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Institut Pasteur de Montevideo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Planck Institute for Molecular Biomedicine</w:t>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Research on Education and Social and Legal Development - Demography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widowControl w:val="0"/>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Torres, Catalina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Facultad de Ciencias Sociales - UDELAR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Planck Institute for Demographic Research</w:t>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Bacteria circuit design for biocomputing and cell reprogramming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widowControl w:val="0"/>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Trajtenberg, Felipe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Institut Pasteur de Montevideo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Planck Institute for Terrestrial Microbiology</w:t>
            </w:r>
          </w:p>
        </w:tc>
      </w:tr>
    </w:tbl>
    <w:p w:rsidR="00000000" w:rsidDel="00000000" w:rsidP="00000000" w:rsidRDefault="00000000" w:rsidRPr="00000000" w14:paraId="00000059">
      <w:pPr>
        <w:rPr>
          <w:rFonts w:ascii="Calibri" w:cs="Calibri" w:eastAsia="Calibri" w:hAnsi="Calibri"/>
          <w:b w:val="1"/>
        </w:rPr>
      </w:pPr>
      <w:r w:rsidDel="00000000" w:rsidR="00000000" w:rsidRPr="00000000">
        <w:rPr>
          <w:rtl w:val="0"/>
        </w:rPr>
      </w:r>
    </w:p>
    <w:sectPr>
      <w:headerReference r:id="rId7"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font000000002e1037d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jc w:val="center"/>
      <w:rPr>
        <w:rFonts w:ascii="Calibri" w:cs="Calibri" w:eastAsia="Calibri" w:hAnsi="Calibri"/>
        <w:b w:val="1"/>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-900083</wp:posOffset>
          </wp:positionH>
          <wp:positionV relativeFrom="paragraph">
            <wp:posOffset>-66650</wp:posOffset>
          </wp:positionV>
          <wp:extent cx="7536873" cy="1108363"/>
          <wp:effectExtent b="0" l="0" r="0" t="0"/>
          <wp:wrapSquare wrapText="bothSides" distB="0" distT="0" distL="0" distR="0"/>
          <wp:docPr id="20" name="image1.png"/>
          <a:graphic>
            <a:graphicData uri="http://schemas.openxmlformats.org/drawingml/2006/picture">
              <pic:pic>
                <pic:nvPicPr>
                  <pic:cNvPr id="0" name="image1.png"/>
                  <pic:cNvPicPr preferRelativeResize="0"/>
                </pic:nvPicPr>
                <pic:blipFill>
                  <a:blip r:embed="rId1"/>
                  <a:srcRect b="32553" l="0" r="0" t="14285"/>
                  <a:stretch>
                    <a:fillRect/>
                  </a:stretch>
                </pic:blipFill>
                <pic:spPr>
                  <a:xfrm>
                    <a:off x="0" y="0"/>
                    <a:ext cx="7536873" cy="1108363"/>
                  </a:xfrm>
                  <a:prstGeom prst="rect"/>
                  <a:ln/>
                </pic:spPr>
              </pic:pic>
            </a:graphicData>
          </a:graphic>
        </wp:anchor>
      </w:drawing>
    </w:r>
  </w:p>
  <w:p w:rsidR="00000000" w:rsidDel="00000000" w:rsidP="00000000" w:rsidRDefault="00000000" w:rsidRPr="00000000" w14:paraId="0000005B">
    <w:pPr>
      <w:rPr>
        <w:rFonts w:ascii="Calibri" w:cs="Calibri" w:eastAsia="Calibri" w:hAnsi="Calibri"/>
        <w:b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UY"/>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a" w:customStyle="1">
    <w:basedOn w:val="TableNormalf1"/>
    <w:tblPr>
      <w:tblStyleRowBandSize w:val="1"/>
      <w:tblStyleColBandSize w:val="1"/>
    </w:tblPr>
  </w:style>
  <w:style w:type="table" w:styleId="a0" w:customStyle="1">
    <w:basedOn w:val="TableNormalf1"/>
    <w:tblPr>
      <w:tblStyleRowBandSize w:val="1"/>
      <w:tblStyleColBandSize w:val="1"/>
    </w:tblPr>
  </w:style>
  <w:style w:type="table" w:styleId="a1" w:customStyle="1">
    <w:basedOn w:val="TableNormalf1"/>
    <w:tblPr>
      <w:tblStyleRowBandSize w:val="1"/>
      <w:tblStyleColBandSize w:val="1"/>
    </w:tblPr>
  </w:style>
  <w:style w:type="table" w:styleId="a2" w:customStyle="1">
    <w:basedOn w:val="TableNormalf1"/>
    <w:tblPr>
      <w:tblStyleRowBandSize w:val="1"/>
      <w:tblStyleColBandSize w:val="1"/>
    </w:tblPr>
  </w:style>
  <w:style w:type="table" w:styleId="a3" w:customStyle="1">
    <w:basedOn w:val="TableNormalf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4549B1"/>
    <w:rPr>
      <w:color w:val="0000ff" w:themeColor="hyperlink"/>
      <w:u w:val="single"/>
    </w:rPr>
  </w:style>
  <w:style w:type="table" w:styleId="a4" w:customStyle="1">
    <w:basedOn w:val="TableNormalf"/>
    <w:tblPr>
      <w:tblStyleRowBandSize w:val="1"/>
      <w:tblStyleColBandSize w:val="1"/>
      <w:tblCellMar>
        <w:left w:w="115.0" w:type="dxa"/>
        <w:right w:w="115.0" w:type="dxa"/>
      </w:tblCellMar>
    </w:tblPr>
  </w:style>
  <w:style w:type="table" w:styleId="Tablaconcuadrcula">
    <w:name w:val="Table Grid"/>
    <w:basedOn w:val="Tablanormal"/>
    <w:uiPriority w:val="59"/>
    <w:rsid w:val="002B7665"/>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5" w:customStyle="1">
    <w:basedOn w:val="TableNormale"/>
    <w:pPr>
      <w:spacing w:line="240" w:lineRule="auto"/>
    </w:pPr>
    <w:tblPr>
      <w:tblStyleRowBandSize w:val="1"/>
      <w:tblStyleColBandSize w:val="1"/>
      <w:tblCellMar>
        <w:left w:w="108.0" w:type="dxa"/>
        <w:right w:w="108.0" w:type="dxa"/>
      </w:tblCellMar>
    </w:tblPr>
  </w:style>
  <w:style w:type="paragraph" w:styleId="Prrafodelista">
    <w:name w:val="List Paragraph"/>
    <w:basedOn w:val="Normal"/>
    <w:uiPriority w:val="34"/>
    <w:qFormat w:val="1"/>
    <w:rsid w:val="00E9616B"/>
    <w:pPr>
      <w:ind w:left="720"/>
      <w:contextualSpacing w:val="1"/>
    </w:pPr>
  </w:style>
  <w:style w:type="paragraph" w:styleId="Textodeglobo">
    <w:name w:val="Balloon Text"/>
    <w:basedOn w:val="Normal"/>
    <w:link w:val="TextodegloboCar"/>
    <w:uiPriority w:val="99"/>
    <w:semiHidden w:val="1"/>
    <w:unhideWhenUsed w:val="1"/>
    <w:rsid w:val="0007209E"/>
    <w:pPr>
      <w:spacing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07209E"/>
    <w:rPr>
      <w:rFonts w:ascii="Tahoma" w:cs="Tahoma" w:hAnsi="Tahoma"/>
      <w:sz w:val="16"/>
      <w:szCs w:val="16"/>
    </w:rPr>
  </w:style>
  <w:style w:type="table" w:styleId="a6" w:customStyle="1">
    <w:basedOn w:val="TableNormald"/>
    <w:tblPr>
      <w:tblStyleRowBandSize w:val="1"/>
      <w:tblStyleColBandSize w:val="1"/>
      <w:tblCellMar>
        <w:left w:w="70.0" w:type="dxa"/>
        <w:right w:w="70.0" w:type="dxa"/>
      </w:tblCellMar>
    </w:tblPr>
  </w:style>
  <w:style w:type="table" w:styleId="a7" w:customStyle="1">
    <w:basedOn w:val="TableNormald"/>
    <w:tblPr>
      <w:tblStyleRowBandSize w:val="1"/>
      <w:tblStyleColBandSize w:val="1"/>
      <w:tblCellMar>
        <w:left w:w="70.0" w:type="dxa"/>
        <w:right w:w="70.0" w:type="dxa"/>
      </w:tblCellMar>
    </w:tblPr>
  </w:style>
  <w:style w:type="table" w:styleId="a8" w:customStyle="1">
    <w:basedOn w:val="TableNormald"/>
    <w:tblPr>
      <w:tblStyleRowBandSize w:val="1"/>
      <w:tblStyleColBandSize w:val="1"/>
      <w:tblCellMar>
        <w:left w:w="70.0" w:type="dxa"/>
        <w:right w:w="70.0" w:type="dxa"/>
      </w:tblCellMar>
    </w:tblPr>
  </w:style>
  <w:style w:type="table" w:styleId="a9" w:customStyle="1">
    <w:basedOn w:val="TableNormald"/>
    <w:tblPr>
      <w:tblStyleRowBandSize w:val="1"/>
      <w:tblStyleColBandSize w:val="1"/>
      <w:tblCellMar>
        <w:left w:w="70.0" w:type="dxa"/>
        <w:right w:w="70.0" w:type="dxa"/>
      </w:tblCellMar>
    </w:tblPr>
  </w:style>
  <w:style w:type="table" w:styleId="aa" w:customStyle="1">
    <w:basedOn w:val="TableNormald"/>
    <w:tblPr>
      <w:tblStyleRowBandSize w:val="1"/>
      <w:tblStyleColBandSize w:val="1"/>
      <w:tblCellMar>
        <w:left w:w="70.0" w:type="dxa"/>
        <w:right w:w="70.0" w:type="dxa"/>
      </w:tblCellMar>
    </w:tblPr>
  </w:style>
  <w:style w:type="table" w:styleId="ab" w:customStyle="1">
    <w:basedOn w:val="TableNormald"/>
    <w:tblPr>
      <w:tblStyleRowBandSize w:val="1"/>
      <w:tblStyleColBandSize w:val="1"/>
      <w:tblCellMar>
        <w:left w:w="70.0" w:type="dxa"/>
        <w:right w:w="70.0" w:type="dxa"/>
      </w:tblCellMar>
    </w:tblPr>
  </w:style>
  <w:style w:type="table" w:styleId="ac" w:customStyle="1">
    <w:basedOn w:val="TableNormald"/>
    <w:tblPr>
      <w:tblStyleRowBandSize w:val="1"/>
      <w:tblStyleColBandSize w:val="1"/>
      <w:tblCellMar>
        <w:left w:w="70.0" w:type="dxa"/>
        <w:right w:w="70.0" w:type="dxa"/>
      </w:tblCellMar>
    </w:tblPr>
  </w:style>
  <w:style w:type="table" w:styleId="ad" w:customStyle="1">
    <w:basedOn w:val="TableNormald"/>
    <w:tblPr>
      <w:tblStyleRowBandSize w:val="1"/>
      <w:tblStyleColBandSize w:val="1"/>
      <w:tblCellMar>
        <w:left w:w="70.0" w:type="dxa"/>
        <w:right w:w="70.0" w:type="dxa"/>
      </w:tblCellMar>
    </w:tblPr>
  </w:style>
  <w:style w:type="table" w:styleId="ae" w:customStyle="1">
    <w:basedOn w:val="TableNormald"/>
    <w:tblPr>
      <w:tblStyleRowBandSize w:val="1"/>
      <w:tblStyleColBandSize w:val="1"/>
      <w:tblCellMar>
        <w:left w:w="70.0" w:type="dxa"/>
        <w:right w:w="70.0" w:type="dxa"/>
      </w:tblCellMar>
    </w:tblPr>
  </w:style>
  <w:style w:type="table" w:styleId="af" w:customStyle="1">
    <w:basedOn w:val="TableNormalc"/>
    <w:tblPr>
      <w:tblStyleRowBandSize w:val="1"/>
      <w:tblStyleColBandSize w:val="1"/>
      <w:tblCellMar>
        <w:left w:w="70.0" w:type="dxa"/>
        <w:right w:w="70.0" w:type="dxa"/>
      </w:tblCellMar>
    </w:tblPr>
  </w:style>
  <w:style w:type="table" w:styleId="af0" w:customStyle="1">
    <w:basedOn w:val="TableNormalc"/>
    <w:tblPr>
      <w:tblStyleRowBandSize w:val="1"/>
      <w:tblStyleColBandSize w:val="1"/>
      <w:tblCellMar>
        <w:left w:w="70.0" w:type="dxa"/>
        <w:right w:w="70.0" w:type="dxa"/>
      </w:tblCellMar>
    </w:tblPr>
  </w:style>
  <w:style w:type="table" w:styleId="af1" w:customStyle="1">
    <w:basedOn w:val="TableNormalb"/>
    <w:tblPr>
      <w:tblStyleRowBandSize w:val="1"/>
      <w:tblStyleColBandSize w:val="1"/>
      <w:tblCellMar>
        <w:left w:w="115.0" w:type="dxa"/>
        <w:right w:w="115.0" w:type="dxa"/>
      </w:tblCellMar>
    </w:tblPr>
  </w:style>
  <w:style w:type="table" w:styleId="af2" w:customStyle="1">
    <w:basedOn w:val="TableNormalb"/>
    <w:tblPr>
      <w:tblStyleRowBandSize w:val="1"/>
      <w:tblStyleColBandSize w:val="1"/>
      <w:tblCellMar>
        <w:left w:w="115.0" w:type="dxa"/>
        <w:right w:w="115.0" w:type="dxa"/>
      </w:tblCellMar>
    </w:tblPr>
  </w:style>
  <w:style w:type="table" w:styleId="af3" w:customStyle="1">
    <w:basedOn w:val="TableNormala"/>
    <w:tblPr>
      <w:tblStyleRowBandSize w:val="1"/>
      <w:tblStyleColBandSize w:val="1"/>
      <w:tblCellMar>
        <w:left w:w="115.0" w:type="dxa"/>
        <w:right w:w="115.0" w:type="dxa"/>
      </w:tblCellMar>
    </w:tblPr>
  </w:style>
  <w:style w:type="table" w:styleId="af4" w:customStyle="1">
    <w:basedOn w:val="TableNormala"/>
    <w:tblPr>
      <w:tblStyleRowBandSize w:val="1"/>
      <w:tblStyleColBandSize w:val="1"/>
      <w:tblCellMar>
        <w:left w:w="115.0" w:type="dxa"/>
        <w:right w:w="115.0" w:type="dxa"/>
      </w:tblCellMar>
    </w:tblPr>
  </w:style>
  <w:style w:type="table" w:styleId="af5" w:customStyle="1">
    <w:basedOn w:val="TableNormala"/>
    <w:pPr>
      <w:spacing w:line="240" w:lineRule="auto"/>
    </w:pPr>
    <w:tblPr>
      <w:tblStyleRowBandSize w:val="1"/>
      <w:tblStyleColBandSize w:val="1"/>
      <w:tblCellMar>
        <w:left w:w="108.0" w:type="dxa"/>
        <w:right w:w="108.0" w:type="dxa"/>
      </w:tblCellMar>
    </w:tblPr>
  </w:style>
  <w:style w:type="character" w:styleId="Hipervnculovisitado">
    <w:name w:val="FollowedHyperlink"/>
    <w:basedOn w:val="Fuentedeprrafopredeter"/>
    <w:uiPriority w:val="99"/>
    <w:semiHidden w:val="1"/>
    <w:unhideWhenUsed w:val="1"/>
    <w:rsid w:val="006A36FD"/>
    <w:rPr>
      <w:color w:val="800080"/>
      <w:u w:val="single"/>
    </w:rPr>
  </w:style>
  <w:style w:type="paragraph" w:styleId="xl65" w:customStyle="1">
    <w:name w:val="xl65"/>
    <w:basedOn w:val="Normal"/>
    <w:rsid w:val="006A36FD"/>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b w:val="1"/>
      <w:bCs w:val="1"/>
      <w:sz w:val="18"/>
      <w:szCs w:val="18"/>
    </w:rPr>
  </w:style>
  <w:style w:type="paragraph" w:styleId="xl66" w:customStyle="1">
    <w:name w:val="xl66"/>
    <w:basedOn w:val="Normal"/>
    <w:rsid w:val="006A36FD"/>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Times New Roman" w:cs="Times New Roman" w:eastAsia="Times New Roman" w:hAnsi="Times New Roman"/>
      <w:sz w:val="18"/>
      <w:szCs w:val="18"/>
    </w:rPr>
  </w:style>
  <w:style w:type="table" w:styleId="af6" w:customStyle="1">
    <w:basedOn w:val="TableNormal9"/>
    <w:pPr>
      <w:spacing w:line="240" w:lineRule="auto"/>
    </w:pPr>
    <w:tblPr>
      <w:tblStyleRowBandSize w:val="1"/>
      <w:tblStyleColBandSize w:val="1"/>
      <w:tblCellMar>
        <w:left w:w="108.0" w:type="dxa"/>
        <w:right w:w="108.0" w:type="dxa"/>
      </w:tblCellMar>
    </w:tblPr>
  </w:style>
  <w:style w:type="table" w:styleId="af7" w:customStyle="1">
    <w:basedOn w:val="TableNormal9"/>
    <w:pPr>
      <w:spacing w:line="240" w:lineRule="auto"/>
    </w:pPr>
    <w:tblPr>
      <w:tblStyleRowBandSize w:val="1"/>
      <w:tblStyleColBandSize w:val="1"/>
      <w:tblCellMar>
        <w:left w:w="108.0" w:type="dxa"/>
        <w:right w:w="108.0" w:type="dxa"/>
      </w:tblCellMar>
    </w:tblPr>
  </w:style>
  <w:style w:type="table" w:styleId="af8" w:customStyle="1">
    <w:basedOn w:val="TableNormal9"/>
    <w:tblPr>
      <w:tblStyleRowBandSize w:val="1"/>
      <w:tblStyleColBandSize w:val="1"/>
      <w:tblCellMar>
        <w:left w:w="70.0" w:type="dxa"/>
        <w:right w:w="70.0" w:type="dxa"/>
      </w:tblCellMar>
    </w:tblPr>
  </w:style>
  <w:style w:type="table" w:styleId="af9" w:customStyle="1">
    <w:basedOn w:val="TableNormal8"/>
    <w:pPr>
      <w:spacing w:line="240" w:lineRule="auto"/>
    </w:pPr>
    <w:tblPr>
      <w:tblStyleRowBandSize w:val="1"/>
      <w:tblStyleColBandSize w:val="1"/>
      <w:tblCellMar>
        <w:left w:w="70.0" w:type="dxa"/>
        <w:right w:w="70.0" w:type="dxa"/>
      </w:tblCellMar>
    </w:tblPr>
  </w:style>
  <w:style w:type="table" w:styleId="afa" w:customStyle="1">
    <w:basedOn w:val="TableNormal8"/>
    <w:pPr>
      <w:spacing w:line="240" w:lineRule="auto"/>
    </w:pPr>
    <w:tblPr>
      <w:tblStyleRowBandSize w:val="1"/>
      <w:tblStyleColBandSize w:val="1"/>
      <w:tblCellMar>
        <w:left w:w="70.0" w:type="dxa"/>
        <w:right w:w="70.0" w:type="dxa"/>
      </w:tblCellMar>
    </w:tblPr>
  </w:style>
  <w:style w:type="table" w:styleId="afb" w:customStyle="1">
    <w:basedOn w:val="TableNormal8"/>
    <w:pPr>
      <w:spacing w:line="240" w:lineRule="auto"/>
    </w:pPr>
    <w:tblPr>
      <w:tblStyleRowBandSize w:val="1"/>
      <w:tblStyleColBandSize w:val="1"/>
      <w:tblCellMar>
        <w:left w:w="70.0" w:type="dxa"/>
        <w:right w:w="70.0" w:type="dxa"/>
      </w:tblCellMar>
    </w:tblPr>
  </w:style>
  <w:style w:type="paragraph" w:styleId="xl60" w:customStyle="1">
    <w:name w:val="xl60"/>
    <w:basedOn w:val="Normal"/>
    <w:rsid w:val="00DC4DF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alibri" w:cs="Calibri" w:eastAsia="Times New Roman" w:hAnsi="Calibri"/>
      <w:b w:val="1"/>
      <w:bCs w:val="1"/>
      <w:sz w:val="16"/>
      <w:szCs w:val="16"/>
    </w:rPr>
  </w:style>
  <w:style w:type="paragraph" w:styleId="xl61" w:customStyle="1">
    <w:name w:val="xl61"/>
    <w:basedOn w:val="Normal"/>
    <w:rsid w:val="00DC4DF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alibri" w:cs="Calibri" w:eastAsia="Times New Roman" w:hAnsi="Calibri"/>
      <w:sz w:val="16"/>
      <w:szCs w:val="16"/>
    </w:rPr>
  </w:style>
  <w:style w:type="table" w:styleId="afc" w:customStyle="1">
    <w:basedOn w:val="TableNormal7"/>
    <w:pPr>
      <w:spacing w:line="240" w:lineRule="auto"/>
    </w:pPr>
    <w:tblPr>
      <w:tblStyleRowBandSize w:val="1"/>
      <w:tblStyleColBandSize w:val="1"/>
      <w:tblCellMar>
        <w:left w:w="70.0" w:type="dxa"/>
        <w:right w:w="70.0" w:type="dxa"/>
      </w:tblCellMar>
    </w:tblPr>
  </w:style>
  <w:style w:type="table" w:styleId="afd" w:customStyle="1">
    <w:basedOn w:val="TableNormal7"/>
    <w:pPr>
      <w:spacing w:line="240" w:lineRule="auto"/>
    </w:pPr>
    <w:tblPr>
      <w:tblStyleRowBandSize w:val="1"/>
      <w:tblStyleColBandSize w:val="1"/>
      <w:tblCellMar>
        <w:left w:w="70.0" w:type="dxa"/>
        <w:right w:w="70.0" w:type="dxa"/>
      </w:tblCellMar>
    </w:tblPr>
  </w:style>
  <w:style w:type="table" w:styleId="afe" w:customStyle="1">
    <w:basedOn w:val="TableNormal7"/>
    <w:tblPr>
      <w:tblStyleRowBandSize w:val="1"/>
      <w:tblStyleColBandSize w:val="1"/>
      <w:tblCellMar>
        <w:left w:w="70.0" w:type="dxa"/>
        <w:right w:w="70.0" w:type="dxa"/>
      </w:tblCellMar>
    </w:tblPr>
  </w:style>
  <w:style w:type="table" w:styleId="aff" w:customStyle="1">
    <w:basedOn w:val="TableNormal7"/>
    <w:pPr>
      <w:spacing w:line="240" w:lineRule="auto"/>
    </w:pPr>
    <w:tblPr>
      <w:tblStyleRowBandSize w:val="1"/>
      <w:tblStyleColBandSize w:val="1"/>
      <w:tblCellMar>
        <w:left w:w="70.0" w:type="dxa"/>
        <w:right w:w="70.0" w:type="dxa"/>
      </w:tblCellMar>
    </w:tblPr>
  </w:style>
  <w:style w:type="table" w:styleId="aff0" w:customStyle="1">
    <w:basedOn w:val="TableNormal7"/>
    <w:pPr>
      <w:spacing w:line="240" w:lineRule="auto"/>
    </w:pPr>
    <w:tblPr>
      <w:tblStyleRowBandSize w:val="1"/>
      <w:tblStyleColBandSize w:val="1"/>
      <w:tblCellMar>
        <w:left w:w="70.0" w:type="dxa"/>
        <w:right w:w="70.0" w:type="dxa"/>
      </w:tblCellMar>
    </w:tblPr>
  </w:style>
  <w:style w:type="table" w:styleId="aff1" w:customStyle="1">
    <w:basedOn w:val="TableNormal7"/>
    <w:pPr>
      <w:spacing w:line="240" w:lineRule="auto"/>
    </w:pPr>
    <w:tblPr>
      <w:tblStyleRowBandSize w:val="1"/>
      <w:tblStyleColBandSize w:val="1"/>
      <w:tblCellMar>
        <w:left w:w="70.0" w:type="dxa"/>
        <w:right w:w="70.0" w:type="dxa"/>
      </w:tblCellMar>
    </w:tblPr>
  </w:style>
  <w:style w:type="paragraph" w:styleId="msonormal0" w:customStyle="1">
    <w:name w:val="msonormal"/>
    <w:basedOn w:val="Normal"/>
    <w:rsid w:val="00551306"/>
    <w:pPr>
      <w:spacing w:after="100" w:afterAutospacing="1" w:before="100" w:beforeAutospacing="1" w:line="240" w:lineRule="auto"/>
    </w:pPr>
    <w:rPr>
      <w:rFonts w:ascii="Times New Roman" w:cs="Times New Roman" w:eastAsia="Times New Roman" w:hAnsi="Times New Roman"/>
      <w:sz w:val="24"/>
      <w:szCs w:val="24"/>
    </w:rPr>
  </w:style>
  <w:style w:type="table" w:styleId="aff2" w:customStyle="1">
    <w:basedOn w:val="TableNormal5"/>
    <w:pPr>
      <w:spacing w:line="240" w:lineRule="auto"/>
    </w:pPr>
    <w:tblPr>
      <w:tblStyleRowBandSize w:val="1"/>
      <w:tblStyleColBandSize w:val="1"/>
      <w:tblCellMar>
        <w:left w:w="70.0" w:type="dxa"/>
        <w:right w:w="70.0" w:type="dxa"/>
      </w:tblCellMar>
    </w:tblPr>
  </w:style>
  <w:style w:type="table" w:styleId="aff3" w:customStyle="1">
    <w:basedOn w:val="TableNormal5"/>
    <w:pPr>
      <w:spacing w:line="240" w:lineRule="auto"/>
    </w:pPr>
    <w:tblPr>
      <w:tblStyleRowBandSize w:val="1"/>
      <w:tblStyleColBandSize w:val="1"/>
      <w:tblCellMar>
        <w:left w:w="70.0" w:type="dxa"/>
        <w:right w:w="70.0" w:type="dxa"/>
      </w:tblCellMar>
    </w:tblPr>
  </w:style>
  <w:style w:type="table" w:styleId="aff4" w:customStyle="1">
    <w:basedOn w:val="TableNormal5"/>
    <w:pPr>
      <w:spacing w:line="240" w:lineRule="auto"/>
    </w:pPr>
    <w:tblPr>
      <w:tblStyleRowBandSize w:val="1"/>
      <w:tblStyleColBandSize w:val="1"/>
      <w:tblCellMar>
        <w:left w:w="108.0" w:type="dxa"/>
        <w:right w:w="108.0" w:type="dxa"/>
      </w:tblCellMar>
    </w:tblPr>
  </w:style>
  <w:style w:type="table" w:styleId="aff5" w:customStyle="1">
    <w:basedOn w:val="TableNormal4"/>
    <w:tblPr>
      <w:tblStyleRowBandSize w:val="1"/>
      <w:tblStyleColBandSize w:val="1"/>
      <w:tblCellMar>
        <w:left w:w="115.0" w:type="dxa"/>
        <w:right w:w="115.0" w:type="dxa"/>
      </w:tblCellMar>
    </w:tblPr>
  </w:style>
  <w:style w:type="table" w:styleId="aff6" w:customStyle="1">
    <w:basedOn w:val="TableNormal4"/>
    <w:tblPr>
      <w:tblStyleRowBandSize w:val="1"/>
      <w:tblStyleColBandSize w:val="1"/>
      <w:tblCellMar>
        <w:left w:w="115.0" w:type="dxa"/>
        <w:right w:w="115.0" w:type="dxa"/>
      </w:tblCellMar>
    </w:tblPr>
  </w:style>
  <w:style w:type="table" w:styleId="aff7" w:customStyle="1">
    <w:basedOn w:val="TableNormal4"/>
    <w:tblPr>
      <w:tblStyleRowBandSize w:val="1"/>
      <w:tblStyleColBandSize w:val="1"/>
      <w:tblCellMar>
        <w:left w:w="70.0" w:type="dxa"/>
        <w:right w:w="70.0" w:type="dxa"/>
      </w:tblCellMar>
    </w:tblPr>
  </w:style>
  <w:style w:type="table" w:styleId="aff8" w:customStyle="1">
    <w:basedOn w:val="TableNormal4"/>
    <w:tblPr>
      <w:tblStyleRowBandSize w:val="1"/>
      <w:tblStyleColBandSize w:val="1"/>
      <w:tblCellMar>
        <w:left w:w="70.0" w:type="dxa"/>
        <w:right w:w="70.0" w:type="dxa"/>
      </w:tblCellMar>
    </w:tblPr>
  </w:style>
  <w:style w:type="table" w:styleId="aff9" w:customStyle="1">
    <w:basedOn w:val="TableNormal3"/>
    <w:tblPr>
      <w:tblStyleRowBandSize w:val="1"/>
      <w:tblStyleColBandSize w:val="1"/>
      <w:tblCellMar>
        <w:left w:w="70.0" w:type="dxa"/>
        <w:right w:w="70.0" w:type="dxa"/>
      </w:tblCellMar>
    </w:tblPr>
  </w:style>
  <w:style w:type="table" w:styleId="affa" w:customStyle="1">
    <w:basedOn w:val="TableNormal3"/>
    <w:tblPr>
      <w:tblStyleRowBandSize w:val="1"/>
      <w:tblStyleColBandSize w:val="1"/>
      <w:tblCellMar>
        <w:left w:w="70.0" w:type="dxa"/>
        <w:right w:w="70.0" w:type="dxa"/>
      </w:tblCellMar>
    </w:tblPr>
  </w:style>
  <w:style w:type="table" w:styleId="affb" w:customStyle="1">
    <w:basedOn w:val="TableNormal3"/>
    <w:tblPr>
      <w:tblStyleRowBandSize w:val="1"/>
      <w:tblStyleColBandSize w:val="1"/>
      <w:tblCellMar>
        <w:left w:w="70.0" w:type="dxa"/>
        <w:right w:w="70.0" w:type="dxa"/>
      </w:tblCellMar>
    </w:tblPr>
  </w:style>
  <w:style w:type="table" w:styleId="affc" w:customStyle="1">
    <w:basedOn w:val="TableNormal3"/>
    <w:tblPr>
      <w:tblStyleRowBandSize w:val="1"/>
      <w:tblStyleColBandSize w:val="1"/>
      <w:tblCellMar>
        <w:left w:w="70.0" w:type="dxa"/>
        <w:right w:w="70.0" w:type="dxa"/>
      </w:tblCellMar>
    </w:tblPr>
  </w:style>
  <w:style w:type="table" w:styleId="affd" w:customStyle="1">
    <w:basedOn w:val="TableNormal2"/>
    <w:tblPr>
      <w:tblStyleRowBandSize w:val="1"/>
      <w:tblStyleColBandSize w:val="1"/>
      <w:tblCellMar>
        <w:left w:w="70.0" w:type="dxa"/>
        <w:right w:w="70.0" w:type="dxa"/>
      </w:tblCellMar>
    </w:tblPr>
  </w:style>
  <w:style w:type="table" w:styleId="affe" w:customStyle="1">
    <w:basedOn w:val="TableNormal2"/>
    <w:tblPr>
      <w:tblStyleRowBandSize w:val="1"/>
      <w:tblStyleColBandSize w:val="1"/>
      <w:tblCellMar>
        <w:left w:w="70.0" w:type="dxa"/>
        <w:right w:w="70.0" w:type="dxa"/>
      </w:tblCellMar>
    </w:tblPr>
  </w:style>
  <w:style w:type="table" w:styleId="afff" w:customStyle="1">
    <w:basedOn w:val="TableNormal2"/>
    <w:tblPr>
      <w:tblStyleRowBandSize w:val="1"/>
      <w:tblStyleColBandSize w:val="1"/>
      <w:tblCellMar>
        <w:left w:w="70.0" w:type="dxa"/>
        <w:right w:w="70.0" w:type="dxa"/>
      </w:tblCellMar>
    </w:tblPr>
  </w:style>
  <w:style w:type="table" w:styleId="afff0" w:customStyle="1">
    <w:basedOn w:val="TableNormal2"/>
    <w:tblPr>
      <w:tblStyleRowBandSize w:val="1"/>
      <w:tblStyleColBandSize w:val="1"/>
      <w:tblCellMar>
        <w:left w:w="70.0" w:type="dxa"/>
        <w:right w:w="70.0" w:type="dxa"/>
      </w:tblCellMar>
    </w:tblPr>
  </w:style>
  <w:style w:type="table" w:styleId="afff1" w:customStyle="1">
    <w:basedOn w:val="TableNormal2"/>
    <w:tblPr>
      <w:tblStyleRowBandSize w:val="1"/>
      <w:tblStyleColBandSize w:val="1"/>
      <w:tblCellMar>
        <w:left w:w="70.0" w:type="dxa"/>
        <w:right w:w="70.0" w:type="dxa"/>
      </w:tblCellMar>
    </w:tblPr>
  </w:style>
  <w:style w:type="table" w:styleId="afff2" w:customStyle="1">
    <w:basedOn w:val="TableNormal1"/>
    <w:tblPr>
      <w:tblStyleRowBandSize w:val="1"/>
      <w:tblStyleColBandSize w:val="1"/>
      <w:tblCellMar>
        <w:left w:w="115.0" w:type="dxa"/>
        <w:right w:w="115.0" w:type="dxa"/>
      </w:tblCellMar>
    </w:tblPr>
  </w:style>
  <w:style w:type="table" w:styleId="afff3" w:customStyle="1">
    <w:basedOn w:val="TableNormal1"/>
    <w:tblPr>
      <w:tblStyleRowBandSize w:val="1"/>
      <w:tblStyleColBandSize w:val="1"/>
      <w:tblCellMar>
        <w:left w:w="115.0" w:type="dxa"/>
        <w:right w:w="115.0" w:type="dxa"/>
      </w:tblCellMar>
    </w:tblPr>
  </w:style>
  <w:style w:type="paragraph" w:styleId="Default" w:customStyle="1">
    <w:name w:val="Default"/>
    <w:rsid w:val="007751E0"/>
    <w:pPr>
      <w:autoSpaceDE w:val="0"/>
      <w:autoSpaceDN w:val="0"/>
      <w:adjustRightInd w:val="0"/>
      <w:spacing w:line="240" w:lineRule="auto"/>
    </w:pPr>
    <w:rPr>
      <w:rFonts w:ascii="Calibri" w:cs="Calibri" w:hAnsi="Calibri"/>
      <w:color w:val="000000"/>
      <w:sz w:val="24"/>
      <w:szCs w:val="24"/>
    </w:rPr>
  </w:style>
  <w:style w:type="table" w:styleId="afff4" w:customStyle="1">
    <w:basedOn w:val="TableNormal0"/>
    <w:tblPr>
      <w:tblStyleRowBandSize w:val="1"/>
      <w:tblStyleColBandSize w:val="1"/>
      <w:tblCellMar>
        <w:left w:w="115.0" w:type="dxa"/>
        <w:right w:w="115.0" w:type="dxa"/>
      </w:tblCellMar>
    </w:tblPr>
  </w:style>
  <w:style w:type="table" w:styleId="afff5"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H7WBx3k0KyEO6AwQSBNRmNAPZA==">CgMxLjAyCGguZ2pkZ3hzMgloLjMwajB6bGwyDmgubmVpanlpaGdzN2sxOAByITF0RndscGZRaWp5bzdXMkNRSy0tbll6Z1p2aVdobEtOSA==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2024-05-09T18:55:00Z</dcterms:created>
  <dc:creator>Fabio Bonanno</dc:creator>
</cp:coreProperties>
</file>